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71"/>
        <w:tblLayout w:type="fixed"/>
        <w:tblCellMar>
          <w:left w:type="dxa" w:w="71"/>
          <w:right w:type="dxa" w:w="71"/>
        </w:tblCellMar>
      </w:tblPr>
      <w:tblGrid>
        <w:gridCol w:w="9001"/>
      </w:tblGrid>
      <w:tr>
        <w:tc>
          <w:tcPr>
            <w:tcW w:type="dxa" w:w="9001"/>
            <w:tcMar>
              <w:left w:type="dxa" w:w="71"/>
              <w:right w:type="dxa" w:w="71"/>
            </w:tcMar>
          </w:tcPr>
          <w:p w14:paraId="02000000">
            <w:pPr>
              <w:widowControl w:val="0"/>
              <w:spacing w:after="0" w:before="40" w:line="240" w:lineRule="auto"/>
              <w:ind w:firstLine="0" w:left="113" w:right="113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26"/>
              </w:rPr>
              <w:t xml:space="preserve">                                                               </w:t>
            </w:r>
            <w:r>
              <w:rPr>
                <w:rFonts w:ascii="Times New Roman" w:hAnsi="Times New Roman"/>
                <w:color w:val="000000"/>
                <w:sz w:val="26"/>
              </w:rPr>
              <w:drawing>
                <wp:inline>
                  <wp:extent cx="523875" cy="752475"/>
                  <wp:effectExtent b="0" l="0" r="0" t="0"/>
                  <wp:docPr hidden="false" id="1" name="Picture 1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23875" cy="7524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1"/>
                <w:sz w:val="26"/>
              </w:rPr>
              <w:t xml:space="preserve">                                     </w:t>
            </w:r>
          </w:p>
        </w:tc>
      </w:tr>
    </w:tbl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6"/>
        </w:rPr>
      </w:pPr>
    </w:p>
    <w:p w14:paraId="0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НОВОКУЗНЕЦКИЙ ГОРОДСКОЙ СОВЕТ НАРОДНЫХ ДЕПУТАТОВ</w:t>
      </w:r>
    </w:p>
    <w:p w14:paraId="0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РЕШЕНИЕ</w:t>
      </w:r>
    </w:p>
    <w:p w14:paraId="06000000">
      <w:pPr>
        <w:widowControl w:val="0"/>
        <w:spacing w:after="0" w:line="240" w:lineRule="auto"/>
        <w:ind/>
        <w:rPr>
          <w:rFonts w:ascii="Times New Roman" w:hAnsi="Times New Roman"/>
          <w:sz w:val="24"/>
        </w:rPr>
      </w:pPr>
    </w:p>
    <w:p w14:paraId="07000000">
      <w:pPr>
        <w:widowControl w:val="0"/>
        <w:spacing w:after="0"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внесении изменений и дополнений </w:t>
      </w:r>
    </w:p>
    <w:p w14:paraId="08000000">
      <w:pPr>
        <w:widowControl w:val="0"/>
        <w:spacing w:after="0"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Устав Новокузнецкого городского округа</w:t>
      </w:r>
    </w:p>
    <w:p w14:paraId="09000000">
      <w:pPr>
        <w:widowControl w:val="0"/>
        <w:spacing w:after="0" w:line="276" w:lineRule="auto"/>
        <w:ind/>
        <w:jc w:val="center"/>
        <w:rPr>
          <w:rFonts w:ascii="Times New Roman" w:hAnsi="Times New Roman"/>
          <w:sz w:val="24"/>
        </w:rPr>
      </w:pPr>
    </w:p>
    <w:p w14:paraId="0A000000">
      <w:pPr>
        <w:widowControl w:val="0"/>
        <w:spacing w:after="0" w:line="276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Принято </w:t>
      </w:r>
    </w:p>
    <w:p w14:paraId="0B000000">
      <w:pPr>
        <w:widowControl w:val="0"/>
        <w:spacing w:after="0" w:line="276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Новокузнецким городским </w:t>
      </w:r>
    </w:p>
    <w:p w14:paraId="0C000000">
      <w:pPr>
        <w:widowControl w:val="0"/>
        <w:spacing w:after="0" w:line="276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Советом народных депутатов </w:t>
      </w:r>
    </w:p>
    <w:p w14:paraId="0D000000">
      <w:pPr>
        <w:widowControl w:val="0"/>
        <w:spacing w:after="0" w:line="276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«___» _______ _____ года</w:t>
      </w:r>
    </w:p>
    <w:p w14:paraId="0E000000">
      <w:pPr>
        <w:widowControl w:val="0"/>
        <w:spacing w:after="0" w:line="276" w:lineRule="auto"/>
        <w:ind/>
        <w:jc w:val="center"/>
        <w:rPr>
          <w:rFonts w:ascii="Times New Roman" w:hAnsi="Times New Roman"/>
        </w:rPr>
      </w:pPr>
    </w:p>
    <w:p w14:paraId="0F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 xml:space="preserve">В целях приведения Устава </w:t>
      </w:r>
      <w:r>
        <w:rPr>
          <w:rFonts w:ascii="Times New Roman" w:hAnsi="Times New Roman"/>
          <w:sz w:val="24"/>
        </w:rPr>
        <w:t>Новокузнецкого городского округа</w:t>
      </w:r>
      <w:r>
        <w:rPr>
          <w:rFonts w:ascii="Times New Roman" w:hAnsi="Times New Roman"/>
          <w:sz w:val="24"/>
        </w:rPr>
        <w:t xml:space="preserve"> в соответствие с действующим </w:t>
      </w:r>
      <w:r>
        <w:rPr>
          <w:rFonts w:ascii="Times New Roman" w:hAnsi="Times New Roman"/>
          <w:sz w:val="24"/>
        </w:rPr>
        <w:t xml:space="preserve">федеральным </w:t>
      </w:r>
      <w:r>
        <w:rPr>
          <w:rFonts w:ascii="Times New Roman" w:hAnsi="Times New Roman"/>
          <w:sz w:val="24"/>
        </w:rPr>
        <w:t>законодательством</w:t>
      </w:r>
      <w:r>
        <w:rPr>
          <w:rFonts w:ascii="Times New Roman" w:hAnsi="Times New Roman"/>
          <w:sz w:val="24"/>
        </w:rPr>
        <w:t xml:space="preserve"> и законодательством Кемеровской области-Кузбасса, на основании статьи</w:t>
      </w:r>
      <w:r>
        <w:rPr>
          <w:rFonts w:ascii="Times New Roman" w:hAnsi="Times New Roman"/>
          <w:sz w:val="24"/>
        </w:rPr>
        <w:t xml:space="preserve"> 20 Жилищного кодекса Российской Федерации, </w:t>
      </w:r>
      <w:r>
        <w:rPr>
          <w:rFonts w:ascii="Times New Roman" w:hAnsi="Times New Roman"/>
          <w:b w:val="0"/>
          <w:sz w:val="24"/>
        </w:rPr>
        <w:t>Федерального закона от 20.02.2026 № 23-ФЗ «</w:t>
      </w:r>
      <w:r>
        <w:rPr>
          <w:rFonts w:ascii="Times New Roman" w:hAnsi="Times New Roman"/>
          <w:b w:val="0"/>
          <w:sz w:val="24"/>
        </w:rPr>
        <w:t xml:space="preserve">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/>
          <w:sz w:val="24"/>
        </w:rPr>
        <w:t xml:space="preserve">Федерального закона </w:t>
      </w:r>
      <w:r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z w:val="24"/>
        </w:rPr>
        <w:t xml:space="preserve">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руководствуясь статьями 3, 28, 32 и 33 Устава  </w:t>
      </w:r>
      <w:r>
        <w:rPr>
          <w:rFonts w:ascii="Times New Roman" w:hAnsi="Times New Roman"/>
          <w:sz w:val="24"/>
        </w:rPr>
        <w:t>Новокузнецкого городского округа,</w:t>
      </w:r>
      <w:r>
        <w:rPr>
          <w:rFonts w:ascii="Times New Roman" w:hAnsi="Times New Roman"/>
          <w:sz w:val="24"/>
        </w:rPr>
        <w:t xml:space="preserve"> Новокузнецкий городской Совет народных депутатов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</w:t>
      </w:r>
    </w:p>
    <w:p w14:paraId="10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РЕШИЛ:</w:t>
      </w:r>
    </w:p>
    <w:p w14:paraId="11000000">
      <w:pPr>
        <w:widowControl w:val="0"/>
        <w:tabs>
          <w:tab w:leader="none" w:pos="442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 xml:space="preserve"> Внести следующие изменения и дополнения в Ус</w:t>
      </w:r>
      <w:r>
        <w:rPr>
          <w:rFonts w:ascii="Times New Roman" w:hAnsi="Times New Roman"/>
          <w:sz w:val="24"/>
        </w:rPr>
        <w:t xml:space="preserve">тав </w:t>
      </w:r>
      <w:r>
        <w:rPr>
          <w:rFonts w:ascii="Times New Roman" w:hAnsi="Times New Roman"/>
          <w:sz w:val="24"/>
        </w:rPr>
        <w:t xml:space="preserve">Новокузнецкого городского округа, принятый постановлением </w:t>
      </w:r>
      <w:r>
        <w:rPr>
          <w:rFonts w:ascii="Times New Roman" w:hAnsi="Times New Roman"/>
          <w:sz w:val="24"/>
        </w:rPr>
        <w:t xml:space="preserve">Новокузнецкого городского Совета народных депутатов от 07.12.2009 №11/117 «О принятии Устава города Новокузнецка в новой редакции» (в редакции решений Новокузнецкого городского Совета народных депутатов от 14.07.2010 №10/137; от 31.03.2011 №3/33; от 21.06.2011 №6/94; от 28.03.2012 №3/64; от 30.10.2012 №9/135; от 23.04.2013 №4/54; от 24.12.2013 №16/183; от 29.05.2014 №76/54; от 23.12.2014 №16/150; от 30.09.2015 №9/97; от 29.04.2016 №5/43; от 25.01.2017 №1/1; от 28.06.2017 №7/50; от 28.11.2017 №10/95; от 08.05.2018 №5/41; от 25.12.2018 №17/146; от 05.03.2019 №2/23; от 28.01.2020 №1/l; от 08.12.2020 №15/96; от 08.06.2021 №7/55; от 19.10.2021 №3/19; от 31.05.2022 №8/56; от 29.11.2022 №17/129; от 30.05.2023 №5/45, от 05.12.2023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"https://login.consultant.ru/link/?req=doc&amp;base=RLAW117&amp;n=63052&amp;dst=100007"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№15/104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от 30.01.2024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"https://login.consultant.ru/link/?req=doc&amp;base=RLAW117&amp;n=63414&amp;dst=100007"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№1/7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от 28.05.2024 №6/41</w:t>
      </w:r>
      <w:r>
        <w:rPr>
          <w:rFonts w:ascii="Times New Roman" w:hAnsi="Times New Roman"/>
          <w:sz w:val="24"/>
        </w:rPr>
        <w:t>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 29.10.2024 №14/84</w:t>
      </w:r>
      <w:r>
        <w:rPr>
          <w:rFonts w:ascii="Times New Roman" w:hAnsi="Times New Roman"/>
          <w:sz w:val="24"/>
        </w:rPr>
        <w:t>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 18.03.2025 №4/14; от 17.02.2026 № 1/1; от 24.03.2026 № 3/16</w:t>
      </w:r>
      <w:r>
        <w:rPr>
          <w:rFonts w:ascii="Times New Roman" w:hAnsi="Times New Roman"/>
          <w:sz w:val="24"/>
        </w:rPr>
        <w:t>):</w:t>
      </w:r>
    </w:p>
    <w:p w14:paraId="12000000">
      <w:pPr>
        <w:widowControl w:val="0"/>
        <w:spacing w:after="0" w:line="240" w:lineRule="auto"/>
        <w:ind w:firstLine="540" w:left="0"/>
        <w:jc w:val="both"/>
        <w:outlineLvl w:val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1.1.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в абзаце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"https://login.consultant.ru/link/?req=doc&amp;base=LAW&amp;n=501480&amp;dst=101363"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 xml:space="preserve"> 6 части 1 статьи 6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слова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осуществление муниципального жилищного контроля, а также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заменить словами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а также осуществление</w:t>
      </w:r>
      <w:r>
        <w:rPr>
          <w:rFonts w:ascii="Times New Roman" w:hAnsi="Times New Roman"/>
          <w:sz w:val="24"/>
        </w:rPr>
        <w:t>»;</w:t>
      </w:r>
    </w:p>
    <w:p w14:paraId="13000000">
      <w:pPr>
        <w:widowControl w:val="0"/>
        <w:spacing w:after="0" w:line="240" w:lineRule="auto"/>
        <w:ind w:firstLine="540" w:left="0"/>
        <w:jc w:val="both"/>
        <w:outlineLvl w:val="0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 xml:space="preserve">1.2. абзац 31 части 2 статьи 45 </w:t>
      </w:r>
      <w:r>
        <w:rPr>
          <w:rFonts w:ascii="Times New Roman" w:hAnsi="Times New Roman"/>
          <w:sz w:val="24"/>
        </w:rPr>
        <w:t>исключить</w:t>
      </w:r>
      <w:r>
        <w:rPr>
          <w:rFonts w:ascii="Times New Roman" w:hAnsi="Times New Roman"/>
          <w:sz w:val="24"/>
        </w:rPr>
        <w:t>.</w:t>
      </w:r>
    </w:p>
    <w:p w14:paraId="14000000">
      <w:pPr>
        <w:widowControl w:val="0"/>
        <w:tabs>
          <w:tab w:leader="none" w:pos="1134" w:val="left"/>
        </w:tabs>
        <w:spacing w:after="0" w:line="240" w:lineRule="auto"/>
        <w:ind w:firstLine="567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sz w:val="24"/>
        </w:rPr>
        <w:t xml:space="preserve">2. Настоящее решение подлежит государственной регистрации в территориальном органе уполномоченного федерального органа исполнительной власти в сфере регистрации </w:t>
      </w:r>
      <w:r>
        <w:rPr>
          <w:rFonts w:ascii="Times New Roman" w:hAnsi="Times New Roman"/>
          <w:color w:themeColor="text1" w:val="000000"/>
          <w:sz w:val="24"/>
        </w:rPr>
        <w:t xml:space="preserve">уставов муниципальных образований в установленном федеральным законом порядке, а также официальному опубликованию в течение </w:t>
      </w:r>
      <w:r>
        <w:rPr>
          <w:rFonts w:ascii="Times New Roman" w:hAnsi="Times New Roman"/>
          <w:color w:themeColor="text1" w:val="000000"/>
          <w:sz w:val="24"/>
        </w:rPr>
        <w:t>семи</w:t>
      </w:r>
      <w:r>
        <w:rPr>
          <w:rFonts w:ascii="Times New Roman" w:hAnsi="Times New Roman"/>
          <w:color w:themeColor="text1" w:val="000000"/>
          <w:sz w:val="24"/>
        </w:rPr>
        <w:t xml:space="preserve"> дней со дня поступления уведомления о включении сведений о настоя</w:t>
      </w:r>
      <w:r>
        <w:rPr>
          <w:rFonts w:ascii="Times New Roman" w:hAnsi="Times New Roman"/>
          <w:color w:themeColor="text1" w:val="000000"/>
          <w:sz w:val="24"/>
        </w:rPr>
        <w:t>щем</w:t>
      </w:r>
      <w:r>
        <w:rPr>
          <w:rFonts w:ascii="Times New Roman" w:hAnsi="Times New Roman"/>
          <w:color w:themeColor="text1" w:val="000000"/>
          <w:sz w:val="24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themeColor="text1" w:val="000000"/>
          <w:sz w:val="24"/>
        </w:rPr>
        <w:t>решении в государственный реестр уставов муниципальных образований субъект</w:t>
      </w:r>
      <w:r>
        <w:rPr>
          <w:rFonts w:ascii="Times New Roman" w:hAnsi="Times New Roman"/>
          <w:color w:themeColor="text1" w:val="000000"/>
          <w:sz w:val="24"/>
        </w:rPr>
        <w:t>а</w:t>
      </w:r>
      <w:r>
        <w:rPr>
          <w:rFonts w:ascii="Times New Roman" w:hAnsi="Times New Roman"/>
          <w:color w:themeColor="text1" w:val="000000"/>
          <w:sz w:val="24"/>
        </w:rPr>
        <w:t xml:space="preserve"> Российской Федерации</w:t>
      </w:r>
      <w:r>
        <w:rPr>
          <w:rFonts w:ascii="Times New Roman" w:hAnsi="Times New Roman"/>
          <w:color w:themeColor="text1" w:val="000000"/>
          <w:sz w:val="24"/>
        </w:rPr>
        <w:t>.</w:t>
      </w:r>
    </w:p>
    <w:p w14:paraId="15000000">
      <w:pPr>
        <w:widowControl w:val="0"/>
        <w:tabs>
          <w:tab w:leader="none" w:pos="1134" w:val="left"/>
        </w:tabs>
        <w:spacing w:after="0" w:line="240" w:lineRule="auto"/>
        <w:ind w:firstLine="567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3. Контроль за исполнением </w:t>
      </w:r>
      <w:r>
        <w:rPr>
          <w:rFonts w:ascii="Times New Roman" w:hAnsi="Times New Roman"/>
          <w:sz w:val="24"/>
        </w:rPr>
        <w:t>настоящего решения возложить на администрацию города Новокузнецка и комитет Новокузнецкого городского Совета народных депутатов по вопросам местного самоуправления, правопорядка и информационной политики.</w:t>
      </w:r>
    </w:p>
    <w:p w14:paraId="16000000">
      <w:pPr>
        <w:widowControl w:val="0"/>
        <w:spacing w:after="0" w:line="276" w:lineRule="auto"/>
        <w:ind/>
        <w:jc w:val="both"/>
        <w:rPr>
          <w:rFonts w:ascii="Times New Roman" w:hAnsi="Times New Roman"/>
          <w:sz w:val="24"/>
        </w:rPr>
      </w:pPr>
    </w:p>
    <w:p w14:paraId="17000000">
      <w:pPr>
        <w:widowControl w:val="0"/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Председатель </w:t>
      </w:r>
    </w:p>
    <w:p w14:paraId="18000000">
      <w:pPr>
        <w:widowControl w:val="0"/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Новокузнецкого городского </w:t>
      </w:r>
    </w:p>
    <w:p w14:paraId="19000000">
      <w:pPr>
        <w:widowControl w:val="0"/>
        <w:tabs>
          <w:tab w:leader="none" w:pos="4425" w:val="left"/>
        </w:tabs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Совета народных депутатов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 xml:space="preserve">А.К. </w:t>
      </w:r>
      <w:r>
        <w:rPr>
          <w:rFonts w:ascii="Times New Roman" w:hAnsi="Times New Roman"/>
          <w:sz w:val="24"/>
        </w:rPr>
        <w:t>Шелковникова</w:t>
      </w:r>
    </w:p>
    <w:p w14:paraId="1A000000">
      <w:pPr>
        <w:widowControl w:val="0"/>
        <w:tabs>
          <w:tab w:leader="none" w:pos="4425" w:val="left"/>
        </w:tabs>
        <w:spacing w:after="0" w:line="276" w:lineRule="auto"/>
        <w:ind/>
        <w:jc w:val="both"/>
        <w:rPr>
          <w:rFonts w:ascii="Times New Roman" w:hAnsi="Times New Roman"/>
          <w:sz w:val="24"/>
        </w:rPr>
      </w:pPr>
    </w:p>
    <w:p w14:paraId="1B000000">
      <w:pPr>
        <w:widowControl w:val="0"/>
        <w:tabs>
          <w:tab w:leader="none" w:pos="4425" w:val="left"/>
        </w:tabs>
        <w:spacing w:after="0" w:line="27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города Новокузнецка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                        Д.П. Ильин</w:t>
      </w:r>
    </w:p>
    <w:p w14:paraId="1C000000">
      <w:pPr>
        <w:widowControl w:val="0"/>
        <w:spacing w:after="0" w:line="276" w:lineRule="auto"/>
        <w:ind/>
        <w:jc w:val="both"/>
        <w:rPr>
          <w:rFonts w:ascii="Times New Roman" w:hAnsi="Times New Roman"/>
          <w:sz w:val="24"/>
        </w:rPr>
      </w:pPr>
    </w:p>
    <w:p w14:paraId="1D000000">
      <w:pPr>
        <w:widowControl w:val="0"/>
        <w:spacing w:after="0" w:line="276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Новокузнецк</w:t>
      </w:r>
    </w:p>
    <w:p w14:paraId="1E000000">
      <w:pPr>
        <w:widowControl w:val="0"/>
        <w:spacing w:after="0" w:line="276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«___» ________ ____ года</w:t>
      </w:r>
    </w:p>
    <w:p w14:paraId="1F000000">
      <w:pPr>
        <w:widowControl w:val="0"/>
        <w:spacing w:after="0" w:line="276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___/___</w:t>
      </w:r>
    </w:p>
    <w:p w14:paraId="20000000"/>
    <w:p w14:paraId="21000000"/>
    <w:sectPr>
      <w:headerReference r:id="rId1" w:type="default"/>
      <w:pgSz w:h="16838" w:orient="portrait" w:w="11906"/>
      <w:pgMar w:bottom="1134" w:footer="709" w:gutter="0" w:header="709" w:left="1843" w:right="991" w:top="709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tabs>
        <w:tab w:leader="none" w:pos="4677" w:val="clear"/>
      </w:tabs>
      <w:ind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Balloon Text"/>
    <w:basedOn w:val="Style_3"/>
    <w:link w:val="Style_6_ch"/>
    <w:pPr>
      <w:widowControl w:val="0"/>
      <w:spacing w:after="0" w:line="240" w:lineRule="auto"/>
      <w:ind/>
    </w:pPr>
    <w:rPr>
      <w:rFonts w:ascii="Tahoma" w:hAnsi="Tahoma"/>
      <w:sz w:val="16"/>
    </w:rPr>
  </w:style>
  <w:style w:styleId="Style_6_ch" w:type="character">
    <w:name w:val="Balloon Text"/>
    <w:basedOn w:val="Style_3_ch"/>
    <w:link w:val="Style_6"/>
    <w:rPr>
      <w:rFonts w:ascii="Tahoma" w:hAnsi="Tahoma"/>
      <w:sz w:val="16"/>
    </w:rPr>
  </w:style>
  <w:style w:styleId="Style_7" w:type="paragraph">
    <w:name w:val="toc 6"/>
    <w:next w:val="Style_3"/>
    <w:link w:val="Style_7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8" w:type="paragraph">
    <w:name w:val="toc 7"/>
    <w:next w:val="Style_3"/>
    <w:link w:val="Style_8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3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oc 5"/>
    <w:next w:val="Style_3"/>
    <w:link w:val="Style_21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2026-09-10T10:13:45Z</dcterms:created>
  <dcterms:modified xsi:type="dcterms:W3CDTF">2026-09-10T10:13:45Z</dcterms:modified>
</cp:coreProperties>
</file>